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6" w:rsidRDefault="00A170C6" w:rsidP="00A170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70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C6" w:rsidRDefault="00A170C6" w:rsidP="00A17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170C6" w:rsidRDefault="00A170C6" w:rsidP="00A17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A170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Росреестр</w:t>
      </w:r>
      <w:proofErr w:type="spellEnd"/>
      <w:r w:rsidRPr="00A170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подводит итоги реализации </w:t>
      </w:r>
    </w:p>
    <w:p w:rsidR="00A170C6" w:rsidRDefault="00A170C6" w:rsidP="00A17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70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целевой модели по кадастровому учету за первое полугодие 2017 года</w:t>
      </w:r>
    </w:p>
    <w:p w:rsidR="00A170C6" w:rsidRPr="00A170C6" w:rsidRDefault="00A170C6" w:rsidP="00A170C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170C6" w:rsidRPr="00A170C6" w:rsidRDefault="00A170C6" w:rsidP="00A17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C6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A170C6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) подводит итоги выполнения в 1 полугодии 2017 года показателей по доле приостановлений и отказов целевой модели «Постановка на кадастровый учет земельных участков и объектов недвижимого имущества». </w:t>
      </w:r>
      <w:proofErr w:type="gramStart"/>
      <w:r w:rsidRPr="00A170C6">
        <w:rPr>
          <w:rFonts w:ascii="Times New Roman" w:eastAsia="Times New Roman" w:hAnsi="Times New Roman" w:cs="Times New Roman"/>
          <w:sz w:val="28"/>
          <w:szCs w:val="28"/>
        </w:rPr>
        <w:t>В отчетном периоде в среднем по Российской Федерации доля приостановлений по кадастровому учету с учетом единой процедуры составила 21,24%, отказов – 13,03%. Целевой моделью установлено снижение до конца 2017 года доли приостановлений при кадастровом учете – до 18%, доли отказов – до 10%. Моделями установлены ежегодные целевые показатели на период их реализации – до конца 2020 года, в том числе предусмотрено снижение к 1</w:t>
      </w:r>
      <w:proofErr w:type="gram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 января 2021 года доли приостановлений по кадастровому учету – до 15%, доли отказов – до 7%.</w:t>
      </w:r>
    </w:p>
    <w:p w:rsidR="00A170C6" w:rsidRPr="00A170C6" w:rsidRDefault="00A170C6" w:rsidP="00A17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целевой показатель по доле приостановлений, установленный моделью на 2017 год, выполнили 32 территориальных органа </w:t>
      </w:r>
      <w:proofErr w:type="spellStart"/>
      <w:r w:rsidRPr="00A170C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, по доле отказов – 40 региональных управлений ведомства. </w:t>
      </w:r>
    </w:p>
    <w:p w:rsidR="00A170C6" w:rsidRPr="00A170C6" w:rsidRDefault="00A170C6" w:rsidP="00A17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</w:t>
      </w:r>
      <w:proofErr w:type="spellStart"/>
      <w:r w:rsidRPr="00A170C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 путем сокращения доли приостановлений и отказов при проведении кадастрового учета и регистрации прав на недвижимость территориальные органы </w:t>
      </w:r>
      <w:proofErr w:type="spellStart"/>
      <w:r w:rsidRPr="00A170C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 и филиалы ФГБУ «ФКП </w:t>
      </w:r>
      <w:proofErr w:type="spellStart"/>
      <w:r w:rsidRPr="00A170C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» активно взаимодействуют с </w:t>
      </w:r>
      <w:proofErr w:type="spellStart"/>
      <w:r w:rsidRPr="00A170C6">
        <w:rPr>
          <w:rFonts w:ascii="Times New Roman" w:eastAsia="Times New Roman" w:hAnsi="Times New Roman" w:cs="Times New Roman"/>
          <w:sz w:val="28"/>
          <w:szCs w:val="28"/>
        </w:rPr>
        <w:t>саморегулируемыми</w:t>
      </w:r>
      <w:proofErr w:type="spell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кадастровых (СРО), которые контролируют деятельность и качество работы кадастровых инженеров. Улучшить качество подготавливаемых кадастровыми инженерами документов и снизить количество допускаемых ими ошибок позволяет использование сервиса </w:t>
      </w:r>
      <w:proofErr w:type="spellStart"/>
      <w:r w:rsidRPr="00A170C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 «Личный кабинет кадастрового инженера». В личном кабинете кадастровый инженер может подать на предварительную проверку документы, необходимые для кадастрового учета. Для снижения количества приостановлений и отказов при проведении учетно-регистрационных процедур </w:t>
      </w:r>
      <w:proofErr w:type="spellStart"/>
      <w:r w:rsidRPr="00A170C6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 также активно взаимодействует с органами исполнительной власти субъектов России с целью совершенствования процессов оказания услуг на всех этапах, которые проходит заявитель при приобретении и оформлении недвижимости.</w:t>
      </w:r>
    </w:p>
    <w:p w:rsidR="00A170C6" w:rsidRPr="00A170C6" w:rsidRDefault="00A170C6" w:rsidP="00A17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Лучшими </w:t>
      </w:r>
      <w:proofErr w:type="gramStart"/>
      <w:r w:rsidRPr="00A170C6">
        <w:rPr>
          <w:rFonts w:ascii="Times New Roman" w:eastAsia="Times New Roman" w:hAnsi="Times New Roman" w:cs="Times New Roman"/>
          <w:sz w:val="28"/>
          <w:szCs w:val="28"/>
        </w:rPr>
        <w:t>по показателю по доле приостановлений при проведении кадастрового учета с учетом единой процедуры по итогам</w:t>
      </w:r>
      <w:proofErr w:type="gram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 января-июня 2017 года стали территориальные управления по Республике Северная Осетия (доля приостановлений – 8,63%), Саратовской области (9,46%), Республике Алтай (7,52%), Тульской области (9,97%) и Тамбовской области (10,01%). </w:t>
      </w:r>
    </w:p>
    <w:p w:rsidR="00A170C6" w:rsidRPr="00A170C6" w:rsidRDefault="00A170C6" w:rsidP="00A17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Наименьшее число отказов </w:t>
      </w:r>
      <w:proofErr w:type="gramStart"/>
      <w:r w:rsidRPr="00A170C6">
        <w:rPr>
          <w:rFonts w:ascii="Times New Roman" w:eastAsia="Times New Roman" w:hAnsi="Times New Roman" w:cs="Times New Roman"/>
          <w:sz w:val="28"/>
          <w:szCs w:val="28"/>
        </w:rPr>
        <w:t>при кадастровом учете с учетом единой процедуры за отчетный период у территориальных управлений по Республике</w:t>
      </w:r>
      <w:proofErr w:type="gramEnd"/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 Алтай (3,64%), </w:t>
      </w:r>
      <w:r w:rsidRPr="00A170C6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Республике Северная Осетия (4,55%), Алтайскому краю (3,51%), Чувашской Республике (3,22%), Республике Ингушетия (3,27%).</w:t>
      </w:r>
    </w:p>
    <w:p w:rsidR="00A170C6" w:rsidRPr="00A170C6" w:rsidRDefault="00A170C6" w:rsidP="00A17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C6">
        <w:rPr>
          <w:rFonts w:ascii="Times New Roman" w:eastAsia="Times New Roman" w:hAnsi="Times New Roman" w:cs="Times New Roman"/>
          <w:sz w:val="28"/>
          <w:szCs w:val="28"/>
        </w:rPr>
        <w:t xml:space="preserve">Наибольшая доля заявлений о кадастровом учете с учетом единой процедуры, рассмотрение которых приостановлено в январе-июне 2017 года, – в Санкт-Петербурге (32,15%), Республике Башкортостан (32,92%), г. Москве – (27,9%), Смоленской области (28,57%) и Свердловской области (28,78%). Наибольшая доля заявлений о кадастровом учете, по которым отказано, - в </w:t>
      </w:r>
      <w:proofErr w:type="gramStart"/>
      <w:r w:rsidRPr="00A170C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70C6">
        <w:rPr>
          <w:rFonts w:ascii="Times New Roman" w:eastAsia="Times New Roman" w:hAnsi="Times New Roman" w:cs="Times New Roman"/>
          <w:sz w:val="28"/>
          <w:szCs w:val="28"/>
        </w:rPr>
        <w:t>. Москве (25,05%), Краснодарском крае (19,95%), Республике Крым (22,1%), Московской области (18,71%) и Забайкальском крае (17,96%).</w:t>
      </w:r>
    </w:p>
    <w:p w:rsidR="00A170C6" w:rsidRPr="00A170C6" w:rsidRDefault="00A170C6" w:rsidP="00A17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0C6">
        <w:rPr>
          <w:rFonts w:ascii="Times New Roman" w:eastAsia="Times New Roman" w:hAnsi="Times New Roman" w:cs="Times New Roman"/>
          <w:sz w:val="28"/>
          <w:szCs w:val="28"/>
        </w:rPr>
        <w:t>Реализация целевой модели по кадастровому учету направлена на повышение эффективности процедур предоставления земельных участков, находящихся в государственной и муниципальной собственности, а также постановки объектов недвижимости на кадастровый учет. Совершенствование этих процедур способствует обеспечению устойчивости социально-экономического развития страны, решению социальных, экономических и экологических проблем, повышению качества жизни. Кроме того, реализация модели позволит создать благоприятные условия для ведения бизнеса в регионах, будет способствовать развитию конкуренции и улучшению инвестиционного климата в субъектах России. </w:t>
      </w:r>
    </w:p>
    <w:p w:rsidR="00000000" w:rsidRPr="00A170C6" w:rsidRDefault="00A170C6" w:rsidP="00A170C6">
      <w:pPr>
        <w:spacing w:after="0" w:line="240" w:lineRule="auto"/>
        <w:ind w:firstLine="709"/>
        <w:rPr>
          <w:sz w:val="28"/>
          <w:szCs w:val="28"/>
        </w:rPr>
      </w:pPr>
    </w:p>
    <w:sectPr w:rsidR="00000000" w:rsidRPr="00A170C6" w:rsidSect="00A170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0C6"/>
    <w:rsid w:val="00A1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1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2</cp:revision>
  <cp:lastPrinted>2017-09-07T08:09:00Z</cp:lastPrinted>
  <dcterms:created xsi:type="dcterms:W3CDTF">2017-09-07T08:06:00Z</dcterms:created>
  <dcterms:modified xsi:type="dcterms:W3CDTF">2017-09-07T08:11:00Z</dcterms:modified>
</cp:coreProperties>
</file>